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805F9BB"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8756CB">
        <w:rPr>
          <w:rFonts w:ascii="Arial" w:hAnsi="Arial" w:cs="Arial"/>
          <w:b/>
          <w:sz w:val="24"/>
          <w:lang w:eastAsia="zh-CN"/>
        </w:rPr>
        <w:t>3</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F84CA2">
        <w:rPr>
          <w:rFonts w:ascii="Arial" w:hAnsi="Arial"/>
          <w:b/>
          <w:sz w:val="24"/>
          <w:lang w:eastAsia="zh-CN"/>
        </w:rPr>
        <w:t>2</w:t>
      </w:r>
      <w:r w:rsidR="00EF6319">
        <w:rPr>
          <w:rFonts w:ascii="Arial" w:hAnsi="Arial"/>
          <w:b/>
          <w:sz w:val="24"/>
          <w:lang w:eastAsia="zh-CN"/>
        </w:rPr>
        <w:t>09028</w:t>
      </w:r>
    </w:p>
    <w:p w14:paraId="69814E2E" w14:textId="61434E4A"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8756CB">
        <w:rPr>
          <w:rFonts w:ascii="Arial" w:eastAsia="SimSun" w:hAnsi="Arial"/>
          <w:b/>
          <w:sz w:val="24"/>
          <w:lang w:eastAsia="zh-CN"/>
        </w:rPr>
        <w:t>9</w:t>
      </w:r>
      <w:r w:rsidR="00472E0E">
        <w:rPr>
          <w:rFonts w:ascii="Arial" w:eastAsia="SimSun" w:hAnsi="Arial"/>
          <w:b/>
          <w:sz w:val="24"/>
          <w:vertAlign w:val="superscript"/>
          <w:lang w:eastAsia="zh-CN"/>
        </w:rPr>
        <w:t>t</w:t>
      </w:r>
      <w:r w:rsidR="008756CB">
        <w:rPr>
          <w:rFonts w:ascii="Arial" w:eastAsia="SimSun" w:hAnsi="Arial"/>
          <w:b/>
          <w:sz w:val="24"/>
          <w:vertAlign w:val="superscript"/>
          <w:lang w:eastAsia="zh-CN"/>
        </w:rPr>
        <w:t>h</w:t>
      </w:r>
      <w:r w:rsidR="00707604" w:rsidRPr="00707604">
        <w:rPr>
          <w:rFonts w:ascii="Arial" w:eastAsia="SimSun" w:hAnsi="Arial"/>
          <w:b/>
          <w:sz w:val="24"/>
          <w:lang w:eastAsia="zh-CN"/>
        </w:rPr>
        <w:t xml:space="preserve"> </w:t>
      </w:r>
      <w:r w:rsidR="008756CB">
        <w:rPr>
          <w:rFonts w:ascii="Arial" w:eastAsia="SimSun" w:hAnsi="Arial"/>
          <w:b/>
          <w:sz w:val="24"/>
          <w:lang w:eastAsia="zh-CN"/>
        </w:rPr>
        <w:t>–</w:t>
      </w:r>
      <w:r w:rsidR="00707604" w:rsidRPr="00707604">
        <w:rPr>
          <w:rFonts w:ascii="Arial" w:eastAsia="SimSun" w:hAnsi="Arial"/>
          <w:b/>
          <w:sz w:val="24"/>
          <w:lang w:eastAsia="zh-CN"/>
        </w:rPr>
        <w:t xml:space="preserve"> </w:t>
      </w:r>
      <w:r w:rsidR="008756CB">
        <w:rPr>
          <w:rFonts w:ascii="Arial" w:eastAsia="SimSun" w:hAnsi="Arial"/>
          <w:b/>
          <w:sz w:val="24"/>
          <w:lang w:eastAsia="zh-CN"/>
        </w:rPr>
        <w:t>20</w:t>
      </w:r>
      <w:r w:rsidR="008756CB">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8756CB">
        <w:rPr>
          <w:rFonts w:ascii="Arial" w:eastAsia="SimSun" w:hAnsi="Arial"/>
          <w:b/>
          <w:sz w:val="24"/>
          <w:lang w:eastAsia="zh-CN"/>
        </w:rPr>
        <w:t>May</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8368A1">
        <w:rPr>
          <w:rFonts w:ascii="Arial" w:eastAsia="SimSun" w:hAnsi="Arial"/>
          <w:b/>
          <w:sz w:val="24"/>
          <w:lang w:eastAsia="zh-CN"/>
        </w:rPr>
        <w:t>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3FB5492C"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8D2A1E" w:rsidRPr="008D2A1E">
        <w:rPr>
          <w:rFonts w:eastAsia="SimSun"/>
          <w:sz w:val="24"/>
          <w:lang w:val="en-US" w:eastAsia="zh-CN"/>
        </w:rPr>
        <w:t>Remaining open issue for NR SDT</w:t>
      </w:r>
    </w:p>
    <w:p w14:paraId="6E5F21F2" w14:textId="58944078"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8D2A1E">
        <w:rPr>
          <w:rFonts w:eastAsia="SimSun"/>
          <w:sz w:val="24"/>
          <w:lang w:val="en-US" w:eastAsia="zh-CN"/>
        </w:rPr>
        <w:t>9.24.1</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322BDFE1" w:rsidR="00670B13" w:rsidRDefault="00A018D0"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RAN4#102-e, most of RRM requirements for NR SDT have been completed except the following two issues with each two down-selected options [1]:</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572D088E" w14:textId="77777777" w:rsidR="00FB49E9" w:rsidRPr="00FB49E9" w:rsidRDefault="00FB49E9" w:rsidP="00FB49E9">
            <w:pPr>
              <w:pStyle w:val="ListParagraph"/>
              <w:numPr>
                <w:ilvl w:val="0"/>
                <w:numId w:val="30"/>
              </w:numPr>
              <w:overflowPunct w:val="0"/>
              <w:autoSpaceDE w:val="0"/>
              <w:autoSpaceDN w:val="0"/>
              <w:adjustRightInd w:val="0"/>
              <w:ind w:firstLineChars="0"/>
              <w:textAlignment w:val="baseline"/>
              <w:rPr>
                <w:szCs w:val="21"/>
              </w:rPr>
            </w:pPr>
            <w:r w:rsidRPr="00FB49E9">
              <w:rPr>
                <w:szCs w:val="21"/>
              </w:rPr>
              <w:t>X1 for FR2</w:t>
            </w:r>
          </w:p>
          <w:p w14:paraId="75AE0FCA" w14:textId="77777777" w:rsidR="00FB49E9" w:rsidRPr="00FB49E9" w:rsidRDefault="00FB49E9" w:rsidP="00FB49E9">
            <w:pPr>
              <w:pStyle w:val="ListParagraph"/>
              <w:numPr>
                <w:ilvl w:val="1"/>
                <w:numId w:val="30"/>
              </w:numPr>
              <w:overflowPunct w:val="0"/>
              <w:autoSpaceDE w:val="0"/>
              <w:autoSpaceDN w:val="0"/>
              <w:adjustRightInd w:val="0"/>
              <w:ind w:firstLineChars="0"/>
              <w:textAlignment w:val="baseline"/>
              <w:rPr>
                <w:szCs w:val="21"/>
              </w:rPr>
            </w:pPr>
            <w:r w:rsidRPr="00FB49E9">
              <w:rPr>
                <w:szCs w:val="21"/>
              </w:rPr>
              <w:t>Option 5: 400m</w:t>
            </w:r>
          </w:p>
          <w:p w14:paraId="31A0C147" w14:textId="77777777" w:rsidR="00FB49E9" w:rsidRPr="00FB49E9" w:rsidRDefault="00FB49E9" w:rsidP="00FB49E9">
            <w:pPr>
              <w:pStyle w:val="ListParagraph"/>
              <w:numPr>
                <w:ilvl w:val="1"/>
                <w:numId w:val="30"/>
              </w:numPr>
              <w:overflowPunct w:val="0"/>
              <w:autoSpaceDE w:val="0"/>
              <w:autoSpaceDN w:val="0"/>
              <w:adjustRightInd w:val="0"/>
              <w:ind w:firstLineChars="0"/>
              <w:textAlignment w:val="baseline"/>
              <w:rPr>
                <w:szCs w:val="21"/>
              </w:rPr>
            </w:pPr>
            <w:r w:rsidRPr="00FB49E9">
              <w:rPr>
                <w:szCs w:val="21"/>
              </w:rPr>
              <w:t>Option 6: 1280ms</w:t>
            </w:r>
          </w:p>
          <w:p w14:paraId="7A1EE474" w14:textId="32DA99B3" w:rsidR="00FB49E9" w:rsidRDefault="00D75BBD" w:rsidP="00FB49E9">
            <w:pPr>
              <w:pStyle w:val="ListParagraph"/>
              <w:numPr>
                <w:ilvl w:val="0"/>
                <w:numId w:val="30"/>
              </w:numPr>
              <w:overflowPunct w:val="0"/>
              <w:autoSpaceDE w:val="0"/>
              <w:autoSpaceDN w:val="0"/>
              <w:adjustRightInd w:val="0"/>
              <w:ind w:firstLineChars="0"/>
              <w:textAlignment w:val="baseline"/>
              <w:rPr>
                <w:szCs w:val="21"/>
              </w:rPr>
            </w:pPr>
            <w:bookmarkStart w:id="0" w:name="_Hlk101425830"/>
            <w:r w:rsidRPr="00D75BBD">
              <w:rPr>
                <w:szCs w:val="21"/>
              </w:rPr>
              <w:t>Whether or not to introduce an additional requirement for the duration between T2 and the actual CG occasion</w:t>
            </w:r>
            <w:bookmarkEnd w:id="0"/>
            <w:r w:rsidRPr="00D75BBD">
              <w:rPr>
                <w:szCs w:val="21"/>
              </w:rPr>
              <w:t>?</w:t>
            </w:r>
          </w:p>
          <w:p w14:paraId="07474278" w14:textId="21BCD02D" w:rsidR="00D75BBD" w:rsidRDefault="00D75BBD" w:rsidP="00D75BBD">
            <w:pPr>
              <w:pStyle w:val="ListParagraph"/>
              <w:numPr>
                <w:ilvl w:val="1"/>
                <w:numId w:val="30"/>
              </w:numPr>
              <w:overflowPunct w:val="0"/>
              <w:autoSpaceDE w:val="0"/>
              <w:autoSpaceDN w:val="0"/>
              <w:adjustRightInd w:val="0"/>
              <w:ind w:firstLineChars="0"/>
              <w:textAlignment w:val="baseline"/>
              <w:rPr>
                <w:szCs w:val="21"/>
              </w:rPr>
            </w:pPr>
            <w:r w:rsidRPr="00D75BBD">
              <w:rPr>
                <w:szCs w:val="21"/>
              </w:rPr>
              <w:t>Option 1: No additional requirement introduced</w:t>
            </w:r>
          </w:p>
          <w:p w14:paraId="638B17A0" w14:textId="63A0EEEA" w:rsidR="00D75BBD" w:rsidRPr="00FB49E9" w:rsidRDefault="00D75BBD" w:rsidP="00D75BBD">
            <w:pPr>
              <w:pStyle w:val="ListParagraph"/>
              <w:numPr>
                <w:ilvl w:val="1"/>
                <w:numId w:val="30"/>
              </w:numPr>
              <w:overflowPunct w:val="0"/>
              <w:autoSpaceDE w:val="0"/>
              <w:autoSpaceDN w:val="0"/>
              <w:adjustRightInd w:val="0"/>
              <w:ind w:firstLineChars="0"/>
              <w:textAlignment w:val="baseline"/>
              <w:rPr>
                <w:szCs w:val="21"/>
              </w:rPr>
            </w:pPr>
            <w:r w:rsidRPr="00D75BBD">
              <w:rPr>
                <w:szCs w:val="21"/>
              </w:rPr>
              <w:t>Option 7a: 640ms for both FR1 and FR2</w:t>
            </w:r>
          </w:p>
          <w:p w14:paraId="34C4C20A" w14:textId="54E2B06D" w:rsidR="00FB49E9" w:rsidRDefault="00FB49E9" w:rsidP="00FB49E9">
            <w:pPr>
              <w:overflowPunct w:val="0"/>
              <w:autoSpaceDE w:val="0"/>
              <w:autoSpaceDN w:val="0"/>
              <w:adjustRightInd w:val="0"/>
              <w:jc w:val="both"/>
              <w:textAlignment w:val="baseline"/>
              <w:rPr>
                <w:rFonts w:eastAsia="SimSun"/>
                <w:sz w:val="21"/>
                <w:szCs w:val="21"/>
                <w:lang w:eastAsia="zh-CN"/>
              </w:rPr>
            </w:pPr>
          </w:p>
        </w:tc>
      </w:tr>
    </w:tbl>
    <w:p w14:paraId="4650BC39" w14:textId="76467EA8"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4455CF">
        <w:rPr>
          <w:rFonts w:eastAsia="SimSun"/>
          <w:sz w:val="21"/>
          <w:szCs w:val="21"/>
          <w:lang w:val="en-US" w:eastAsia="zh-CN"/>
        </w:rPr>
        <w:t xml:space="preserve">this contribution, </w:t>
      </w:r>
      <w:r w:rsidR="008B488F">
        <w:rPr>
          <w:rFonts w:eastAsia="SimSun"/>
          <w:sz w:val="21"/>
          <w:szCs w:val="21"/>
          <w:lang w:val="en-US" w:eastAsia="zh-CN"/>
        </w:rPr>
        <w:t>we share our analysis and views on these two open issues and propose to select 400ms as X1 for FR2, and no additional requirement introduced for the duration between T2 and the actual CG transmission.</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0C106C5D" w14:textId="22E446F8" w:rsidR="001A0FE7" w:rsidRPr="00F85AFB" w:rsidRDefault="00F85AFB" w:rsidP="009B2891">
      <w:pPr>
        <w:pStyle w:val="BodyText"/>
        <w:tabs>
          <w:tab w:val="num" w:pos="226"/>
          <w:tab w:val="num" w:pos="284"/>
          <w:tab w:val="left" w:pos="5103"/>
        </w:tabs>
        <w:snapToGrid w:val="0"/>
        <w:rPr>
          <w:rFonts w:eastAsia="SimSun"/>
          <w:b/>
          <w:sz w:val="21"/>
          <w:szCs w:val="21"/>
          <w:u w:val="single"/>
          <w:lang w:val="en-GB" w:eastAsia="zh-CN"/>
        </w:rPr>
      </w:pPr>
      <w:r w:rsidRPr="00F85AFB">
        <w:rPr>
          <w:rFonts w:eastAsia="SimSun"/>
          <w:b/>
          <w:sz w:val="21"/>
          <w:szCs w:val="21"/>
          <w:u w:val="single"/>
          <w:lang w:val="en-GB" w:eastAsia="zh-CN"/>
        </w:rPr>
        <w:t>X1 for FR2</w:t>
      </w:r>
    </w:p>
    <w:p w14:paraId="3B0341D6" w14:textId="66442040" w:rsidR="00F85AFB" w:rsidRDefault="00F24B9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the first window, its unified pattern for the size and position is defined as:</w:t>
      </w:r>
    </w:p>
    <w:p w14:paraId="5E96374D" w14:textId="43D46F12" w:rsidR="00F24B9F" w:rsidRPr="00F24B9F" w:rsidRDefault="00F24B9F" w:rsidP="00F24B9F">
      <w:pPr>
        <w:pStyle w:val="BodyText"/>
        <w:tabs>
          <w:tab w:val="num" w:pos="226"/>
          <w:tab w:val="num" w:pos="284"/>
          <w:tab w:val="left" w:pos="5103"/>
        </w:tabs>
        <w:snapToGrid w:val="0"/>
        <w:jc w:val="center"/>
        <w:rPr>
          <w:rFonts w:eastAsia="SimSun"/>
          <w:bCs/>
          <w:sz w:val="21"/>
          <w:szCs w:val="21"/>
          <w:lang w:val="sv-SE" w:eastAsia="zh-CN"/>
        </w:rPr>
      </w:pPr>
      <w:r w:rsidRPr="00D67039">
        <w:rPr>
          <w:szCs w:val="20"/>
          <w:lang w:val="sv-SE"/>
        </w:rPr>
        <w:t>(T1-min (X1,X2)) &lt;= T1’ &lt;= (T1+min(X1,X2)</w:t>
      </w:r>
    </w:p>
    <w:p w14:paraId="3B1E15C2" w14:textId="78C536D9" w:rsidR="00E15848" w:rsidRDefault="00F24B9F" w:rsidP="009B2891">
      <w:pPr>
        <w:pStyle w:val="BodyText"/>
        <w:tabs>
          <w:tab w:val="num" w:pos="226"/>
          <w:tab w:val="num" w:pos="284"/>
          <w:tab w:val="left" w:pos="5103"/>
        </w:tabs>
        <w:snapToGrid w:val="0"/>
        <w:rPr>
          <w:rFonts w:eastAsia="SimSun"/>
          <w:bCs/>
          <w:sz w:val="21"/>
          <w:szCs w:val="21"/>
          <w:lang w:val="en-US" w:eastAsia="zh-CN"/>
        </w:rPr>
      </w:pPr>
      <w:r w:rsidRPr="00F24B9F">
        <w:rPr>
          <w:rFonts w:eastAsia="SimSun"/>
          <w:bCs/>
          <w:sz w:val="21"/>
          <w:szCs w:val="21"/>
          <w:lang w:val="en-US" w:eastAsia="zh-CN"/>
        </w:rPr>
        <w:t>And according to the a</w:t>
      </w:r>
      <w:r>
        <w:rPr>
          <w:rFonts w:eastAsia="SimSun"/>
          <w:bCs/>
          <w:sz w:val="21"/>
          <w:szCs w:val="21"/>
          <w:lang w:val="en-US" w:eastAsia="zh-CN"/>
        </w:rPr>
        <w:t>greements [1], X2 is removed for FR2, which means that the final equation for FR2 is:</w:t>
      </w:r>
    </w:p>
    <w:p w14:paraId="40D6098F" w14:textId="33389C8A" w:rsidR="00F24B9F" w:rsidRPr="00E75435" w:rsidRDefault="00F24B9F" w:rsidP="00F24B9F">
      <w:pPr>
        <w:pStyle w:val="BodyText"/>
        <w:tabs>
          <w:tab w:val="num" w:pos="226"/>
          <w:tab w:val="num" w:pos="284"/>
          <w:tab w:val="left" w:pos="5103"/>
        </w:tabs>
        <w:snapToGrid w:val="0"/>
        <w:jc w:val="center"/>
        <w:rPr>
          <w:rFonts w:eastAsia="SimSun"/>
          <w:bCs/>
          <w:sz w:val="21"/>
          <w:szCs w:val="21"/>
          <w:lang w:val="en-US" w:eastAsia="zh-CN"/>
        </w:rPr>
      </w:pPr>
      <w:r w:rsidRPr="00E75435">
        <w:rPr>
          <w:szCs w:val="20"/>
          <w:lang w:val="en-US"/>
        </w:rPr>
        <w:t>(T1- X1) &lt;= T1’ &lt;= (T1+ X1)</w:t>
      </w:r>
    </w:p>
    <w:p w14:paraId="6AAE921A" w14:textId="03241022" w:rsidR="00E75435" w:rsidRDefault="00040E88" w:rsidP="009B2891">
      <w:pPr>
        <w:pStyle w:val="BodyText"/>
        <w:tabs>
          <w:tab w:val="num" w:pos="226"/>
          <w:tab w:val="num" w:pos="284"/>
          <w:tab w:val="left" w:pos="5103"/>
        </w:tabs>
        <w:snapToGrid w:val="0"/>
        <w:rPr>
          <w:rFonts w:eastAsia="SimSun"/>
          <w:bCs/>
          <w:sz w:val="21"/>
          <w:szCs w:val="21"/>
          <w:lang w:val="en-US" w:eastAsia="zh-CN"/>
        </w:rPr>
      </w:pPr>
      <w:r>
        <w:rPr>
          <w:rFonts w:eastAsia="SimSun"/>
          <w:bCs/>
          <w:sz w:val="21"/>
          <w:szCs w:val="21"/>
          <w:lang w:val="en-US" w:eastAsia="zh-CN"/>
        </w:rPr>
        <w:t>T</w:t>
      </w:r>
      <w:r w:rsidR="00E75435">
        <w:rPr>
          <w:rFonts w:eastAsia="SimSun"/>
          <w:bCs/>
          <w:sz w:val="21"/>
          <w:szCs w:val="21"/>
          <w:lang w:val="en-US" w:eastAsia="zh-CN"/>
        </w:rPr>
        <w:t xml:space="preserve">he parameter X1 for FR2 directly decides the size of the first window. If a value of 1280ms is selected for X1, the size of the first windows </w:t>
      </w:r>
      <w:proofErr w:type="gramStart"/>
      <w:r w:rsidR="00E75435">
        <w:rPr>
          <w:rFonts w:eastAsia="SimSun"/>
          <w:bCs/>
          <w:sz w:val="21"/>
          <w:szCs w:val="21"/>
          <w:lang w:val="en-US" w:eastAsia="zh-CN"/>
        </w:rPr>
        <w:t>are</w:t>
      </w:r>
      <w:proofErr w:type="gramEnd"/>
      <w:r w:rsidR="00E75435">
        <w:rPr>
          <w:rFonts w:eastAsia="SimSun"/>
          <w:bCs/>
          <w:sz w:val="21"/>
          <w:szCs w:val="21"/>
          <w:lang w:val="en-US" w:eastAsia="zh-CN"/>
        </w:rPr>
        <w:t xml:space="preserve"> too big for some CG periods</w:t>
      </w:r>
      <w:r>
        <w:rPr>
          <w:rFonts w:eastAsia="SimSun"/>
          <w:bCs/>
          <w:sz w:val="21"/>
          <w:szCs w:val="21"/>
          <w:lang w:val="en-US" w:eastAsia="zh-CN"/>
        </w:rPr>
        <w:t>, therefore, of the two options for X1, 400ms would be a more reasonable choice.</w:t>
      </w:r>
    </w:p>
    <w:p w14:paraId="198B9E01" w14:textId="1435360D" w:rsidR="00040E88" w:rsidRPr="00040E88" w:rsidRDefault="00040E88" w:rsidP="009B2891">
      <w:pPr>
        <w:pStyle w:val="BodyText"/>
        <w:tabs>
          <w:tab w:val="num" w:pos="226"/>
          <w:tab w:val="num" w:pos="284"/>
          <w:tab w:val="left" w:pos="5103"/>
        </w:tabs>
        <w:snapToGrid w:val="0"/>
        <w:rPr>
          <w:rFonts w:eastAsia="SimSun"/>
          <w:b/>
          <w:sz w:val="21"/>
          <w:szCs w:val="21"/>
          <w:lang w:val="en-US" w:eastAsia="zh-CN"/>
        </w:rPr>
      </w:pPr>
      <w:r w:rsidRPr="00040E88">
        <w:rPr>
          <w:rFonts w:eastAsia="SimSun"/>
          <w:b/>
          <w:sz w:val="21"/>
          <w:szCs w:val="21"/>
          <w:lang w:val="en-US" w:eastAsia="zh-CN"/>
        </w:rPr>
        <w:t>Proposal 1: Set X1 as 400ms for FR2.</w:t>
      </w:r>
    </w:p>
    <w:p w14:paraId="530A8094" w14:textId="5867538F" w:rsidR="00E15848" w:rsidRPr="00E75435" w:rsidRDefault="00E15848" w:rsidP="009B2891">
      <w:pPr>
        <w:pStyle w:val="BodyText"/>
        <w:tabs>
          <w:tab w:val="num" w:pos="226"/>
          <w:tab w:val="num" w:pos="284"/>
          <w:tab w:val="left" w:pos="5103"/>
        </w:tabs>
        <w:snapToGrid w:val="0"/>
        <w:rPr>
          <w:rFonts w:eastAsia="SimSun"/>
          <w:bCs/>
          <w:sz w:val="21"/>
          <w:szCs w:val="21"/>
          <w:lang w:val="en-US" w:eastAsia="zh-CN"/>
        </w:rPr>
      </w:pPr>
    </w:p>
    <w:p w14:paraId="1FDC5D81" w14:textId="54E048C4" w:rsidR="00E15848" w:rsidRPr="00E15848" w:rsidRDefault="00E15848" w:rsidP="009B2891">
      <w:pPr>
        <w:pStyle w:val="BodyText"/>
        <w:tabs>
          <w:tab w:val="num" w:pos="226"/>
          <w:tab w:val="num" w:pos="284"/>
          <w:tab w:val="left" w:pos="5103"/>
        </w:tabs>
        <w:snapToGrid w:val="0"/>
        <w:rPr>
          <w:rFonts w:eastAsia="SimSun"/>
          <w:b/>
          <w:sz w:val="21"/>
          <w:szCs w:val="21"/>
          <w:u w:val="single"/>
          <w:lang w:val="en-GB" w:eastAsia="zh-CN"/>
        </w:rPr>
      </w:pPr>
      <w:r w:rsidRPr="00E15848">
        <w:rPr>
          <w:rFonts w:eastAsia="SimSun"/>
          <w:b/>
          <w:sz w:val="21"/>
          <w:szCs w:val="21"/>
          <w:u w:val="single"/>
          <w:lang w:val="en-GB" w:eastAsia="zh-CN"/>
        </w:rPr>
        <w:t>Whether or not to introduce an additional requirement for the duration between T2 and the actual CG occasion</w:t>
      </w:r>
    </w:p>
    <w:p w14:paraId="5FB69B40" w14:textId="3B5466BD" w:rsidR="00F85AFB" w:rsidRDefault="00F85AFB" w:rsidP="009B2891">
      <w:pPr>
        <w:pStyle w:val="BodyText"/>
        <w:tabs>
          <w:tab w:val="num" w:pos="226"/>
          <w:tab w:val="num" w:pos="284"/>
          <w:tab w:val="left" w:pos="5103"/>
        </w:tabs>
        <w:snapToGrid w:val="0"/>
        <w:rPr>
          <w:rFonts w:eastAsia="SimSun"/>
          <w:bCs/>
          <w:sz w:val="21"/>
          <w:szCs w:val="21"/>
          <w:lang w:val="en-GB" w:eastAsia="zh-CN"/>
        </w:rPr>
      </w:pPr>
    </w:p>
    <w:p w14:paraId="2FF62AD7" w14:textId="56D95915" w:rsidR="00E15848" w:rsidRDefault="00040E8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According to the approved RAN2 CR for TS 38.321 [2][3] as shown below, there is a timer named “</w:t>
      </w:r>
      <w:r w:rsidRPr="00040E88">
        <w:rPr>
          <w:rFonts w:eastAsia="DengXian"/>
          <w:i/>
          <w:lang w:eastAsia="zh-CN"/>
        </w:rPr>
        <w:t>cg-SDT-TimeAlignmentTimer</w:t>
      </w:r>
      <w:r>
        <w:rPr>
          <w:rFonts w:eastAsia="SimSun"/>
          <w:bCs/>
          <w:sz w:val="21"/>
          <w:szCs w:val="21"/>
          <w:lang w:val="en-GB" w:eastAsia="zh-CN"/>
        </w:rPr>
        <w:t xml:space="preserve">” </w:t>
      </w:r>
      <w:r w:rsidR="00970720">
        <w:rPr>
          <w:rFonts w:eastAsia="SimSun"/>
          <w:bCs/>
          <w:sz w:val="21"/>
          <w:szCs w:val="21"/>
          <w:lang w:val="en-GB" w:eastAsia="zh-CN"/>
        </w:rPr>
        <w:t xml:space="preserve">which controls how long the MAC entity considers the uplink transmission for CG-SDT to be uplink time aligned. </w:t>
      </w:r>
      <w:r w:rsidR="00A10C4C">
        <w:rPr>
          <w:rFonts w:eastAsia="SimSun"/>
          <w:bCs/>
          <w:sz w:val="21"/>
          <w:szCs w:val="21"/>
          <w:lang w:val="en-GB" w:eastAsia="zh-CN"/>
        </w:rPr>
        <w:t xml:space="preserve">In other words, if a TA validation is confirmed, the uplink can be regarded as aligned within the timer, thus </w:t>
      </w:r>
      <w:r>
        <w:rPr>
          <w:rFonts w:eastAsia="SimSun"/>
          <w:bCs/>
          <w:sz w:val="21"/>
          <w:szCs w:val="21"/>
          <w:lang w:val="en-GB" w:eastAsia="zh-CN"/>
        </w:rPr>
        <w:t>covers the validity of CG-SDT transmission</w:t>
      </w:r>
      <w:r w:rsidR="003B00E7">
        <w:rPr>
          <w:rFonts w:eastAsia="SimSun"/>
          <w:bCs/>
          <w:sz w:val="21"/>
          <w:szCs w:val="21"/>
          <w:lang w:val="en-GB" w:eastAsia="zh-CN"/>
        </w:rPr>
        <w:t xml:space="preserve"> as illustrated in Fig. </w:t>
      </w:r>
      <w:r w:rsidR="00ED2510">
        <w:rPr>
          <w:rFonts w:eastAsia="SimSun"/>
          <w:bCs/>
          <w:sz w:val="21"/>
          <w:szCs w:val="21"/>
          <w:lang w:val="en-GB" w:eastAsia="zh-CN"/>
        </w:rPr>
        <w:t>1</w:t>
      </w:r>
      <w:r w:rsidR="003B00E7">
        <w:rPr>
          <w:rFonts w:eastAsia="SimSun"/>
          <w:bCs/>
          <w:sz w:val="21"/>
          <w:szCs w:val="21"/>
          <w:lang w:val="en-GB" w:eastAsia="zh-CN"/>
        </w:rPr>
        <w:t xml:space="preserve">, therefore, RAN4 does </w:t>
      </w:r>
      <w:r w:rsidR="003B00E7">
        <w:rPr>
          <w:rFonts w:eastAsia="SimSun"/>
          <w:bCs/>
          <w:sz w:val="21"/>
          <w:szCs w:val="21"/>
          <w:lang w:val="en-GB" w:eastAsia="zh-CN"/>
        </w:rPr>
        <w:lastRenderedPageBreak/>
        <w:t>not need to introduce an additional RRM requirements for the time duration between the moment of TA validation and the actual CG-SDT transmission.</w:t>
      </w:r>
    </w:p>
    <w:tbl>
      <w:tblPr>
        <w:tblStyle w:val="TableGrid"/>
        <w:tblW w:w="0" w:type="auto"/>
        <w:tblLook w:val="04A0" w:firstRow="1" w:lastRow="0" w:firstColumn="1" w:lastColumn="0" w:noHBand="0" w:noVBand="1"/>
      </w:tblPr>
      <w:tblGrid>
        <w:gridCol w:w="9288"/>
      </w:tblGrid>
      <w:tr w:rsidR="00B05FE4" w14:paraId="5CBB2AEB" w14:textId="77777777" w:rsidTr="00B05FE4">
        <w:tc>
          <w:tcPr>
            <w:tcW w:w="9288" w:type="dxa"/>
          </w:tcPr>
          <w:p w14:paraId="72F50669" w14:textId="77777777" w:rsidR="00B05FE4" w:rsidRDefault="00B05FE4" w:rsidP="00B05FE4">
            <w:pPr>
              <w:pStyle w:val="Heading2"/>
              <w:rPr>
                <w:lang w:eastAsia="ko-KR"/>
              </w:rPr>
            </w:pPr>
            <w:bookmarkStart w:id="1" w:name="_Toc52752006"/>
            <w:bookmarkStart w:id="2" w:name="_Toc52796468"/>
            <w:bookmarkStart w:id="3" w:name="_Toc29239826"/>
            <w:bookmarkStart w:id="4" w:name="_Toc37296185"/>
            <w:bookmarkStart w:id="5" w:name="_Toc46490311"/>
            <w:bookmarkStart w:id="6" w:name="_Toc90287179"/>
            <w:r>
              <w:rPr>
                <w:lang w:eastAsia="ko-KR"/>
              </w:rPr>
              <w:t>5.2</w:t>
            </w:r>
            <w:r>
              <w:rPr>
                <w:lang w:eastAsia="ko-KR"/>
              </w:rPr>
              <w:tab/>
              <w:t>Maintenance of Uplink Time Alignment</w:t>
            </w:r>
            <w:bookmarkEnd w:id="1"/>
            <w:bookmarkEnd w:id="2"/>
            <w:bookmarkEnd w:id="3"/>
            <w:bookmarkEnd w:id="4"/>
            <w:bookmarkEnd w:id="5"/>
            <w:bookmarkEnd w:id="6"/>
          </w:p>
          <w:p w14:paraId="3D03E63A" w14:textId="77777777" w:rsidR="00B05FE4" w:rsidRDefault="00B05FE4" w:rsidP="00B05FE4">
            <w:pPr>
              <w:rPr>
                <w:lang w:eastAsia="ko-KR"/>
              </w:rPr>
            </w:pPr>
            <w:r>
              <w:rPr>
                <w:lang w:eastAsia="ko-KR"/>
              </w:rPr>
              <w:t>RRC configures the following parameters for the maintenance of UL time alignment:</w:t>
            </w:r>
          </w:p>
          <w:p w14:paraId="59A4111E" w14:textId="77777777" w:rsidR="00B05FE4" w:rsidRDefault="00B05FE4" w:rsidP="00B05FE4">
            <w:pPr>
              <w:pStyle w:val="B1"/>
              <w:rPr>
                <w:lang w:eastAsia="ko-KR"/>
              </w:rPr>
            </w:pPr>
            <w:r>
              <w:rPr>
                <w:lang w:eastAsia="ko-KR"/>
              </w:rPr>
              <w:t>-</w:t>
            </w:r>
            <w:r>
              <w:rPr>
                <w:lang w:eastAsia="ko-KR"/>
              </w:rPr>
              <w:tab/>
            </w:r>
            <w:r>
              <w:rPr>
                <w:i/>
                <w:lang w:eastAsia="ko-KR"/>
              </w:rPr>
              <w:t>timeAlignmentTimer</w:t>
            </w:r>
            <w:r>
              <w:rPr>
                <w:lang w:eastAsia="ko-KR"/>
              </w:rPr>
              <w:t xml:space="preserve"> (per TAG) which controls how long the MAC entity considers the Serving Cells belonging to the associated TAG to be uplink time aligned.</w:t>
            </w:r>
          </w:p>
          <w:p w14:paraId="063181C5" w14:textId="77777777" w:rsidR="00B05FE4" w:rsidRDefault="00B05FE4" w:rsidP="00B05FE4">
            <w:pPr>
              <w:pStyle w:val="B1"/>
              <w:rPr>
                <w:lang w:eastAsia="ko-KR"/>
              </w:rPr>
            </w:pPr>
            <w:r>
              <w:rPr>
                <w:lang w:eastAsia="ko-KR"/>
              </w:rPr>
              <w:t>-</w:t>
            </w:r>
            <w:r>
              <w:rPr>
                <w:lang w:eastAsia="ko-KR"/>
              </w:rPr>
              <w:tab/>
            </w:r>
            <w:r w:rsidRPr="00970720">
              <w:rPr>
                <w:i/>
                <w:highlight w:val="cyan"/>
                <w:lang w:eastAsia="ko-KR"/>
              </w:rPr>
              <w:t>cg-SDT-TimeAlignmentTimer</w:t>
            </w:r>
            <w:r>
              <w:rPr>
                <w:lang w:eastAsia="ko-KR"/>
              </w:rPr>
              <w:t xml:space="preserve"> which controls how long the MAC entity considers the uplink transmission for CG-SDT to be uplink time aligned.</w:t>
            </w:r>
          </w:p>
          <w:p w14:paraId="4A488FA3" w14:textId="50B96218" w:rsidR="00B05FE4" w:rsidRDefault="00B05FE4" w:rsidP="009B2891">
            <w:pPr>
              <w:pStyle w:val="BodyText"/>
              <w:tabs>
                <w:tab w:val="num" w:pos="226"/>
                <w:tab w:val="num" w:pos="284"/>
                <w:tab w:val="left" w:pos="5103"/>
              </w:tabs>
              <w:snapToGrid w:val="0"/>
              <w:rPr>
                <w:rFonts w:eastAsia="SimSun"/>
                <w:bCs/>
                <w:sz w:val="21"/>
                <w:szCs w:val="21"/>
                <w:lang w:val="en-GB" w:eastAsia="zh-CN"/>
              </w:rPr>
            </w:pPr>
          </w:p>
        </w:tc>
      </w:tr>
    </w:tbl>
    <w:p w14:paraId="5ED32CB1" w14:textId="77777777" w:rsidR="00B05FE4" w:rsidRDefault="00B05FE4" w:rsidP="009B2891">
      <w:pPr>
        <w:pStyle w:val="BodyText"/>
        <w:tabs>
          <w:tab w:val="num" w:pos="226"/>
          <w:tab w:val="num" w:pos="284"/>
          <w:tab w:val="left" w:pos="5103"/>
        </w:tabs>
        <w:snapToGrid w:val="0"/>
        <w:rPr>
          <w:rFonts w:eastAsia="SimSun"/>
          <w:bCs/>
          <w:sz w:val="21"/>
          <w:szCs w:val="21"/>
          <w:lang w:val="en-GB" w:eastAsia="zh-CN"/>
        </w:rPr>
      </w:pPr>
    </w:p>
    <w:tbl>
      <w:tblPr>
        <w:tblStyle w:val="TableGrid"/>
        <w:tblW w:w="0" w:type="auto"/>
        <w:tblLook w:val="04A0" w:firstRow="1" w:lastRow="0" w:firstColumn="1" w:lastColumn="0" w:noHBand="0" w:noVBand="1"/>
      </w:tblPr>
      <w:tblGrid>
        <w:gridCol w:w="9288"/>
      </w:tblGrid>
      <w:tr w:rsidR="000800B9" w14:paraId="20FE45BD" w14:textId="77777777" w:rsidTr="000800B9">
        <w:tc>
          <w:tcPr>
            <w:tcW w:w="9288" w:type="dxa"/>
          </w:tcPr>
          <w:p w14:paraId="3DEE9BFF" w14:textId="77777777" w:rsidR="000800B9" w:rsidRDefault="000800B9" w:rsidP="000800B9">
            <w:pPr>
              <w:pStyle w:val="Heading3"/>
              <w:keepNext w:val="0"/>
              <w:keepLines w:val="0"/>
              <w:jc w:val="both"/>
              <w:rPr>
                <w:rFonts w:eastAsia="DengXian"/>
                <w:szCs w:val="20"/>
                <w:lang w:eastAsia="zh-CN"/>
              </w:rPr>
            </w:pPr>
            <w:r>
              <w:rPr>
                <w:rFonts w:eastAsia="DengXian"/>
                <w:lang w:eastAsia="zh-CN"/>
              </w:rPr>
              <w:t>5.x.1</w:t>
            </w:r>
            <w:r>
              <w:rPr>
                <w:rFonts w:eastAsia="DengXian"/>
                <w:lang w:eastAsia="zh-CN"/>
              </w:rPr>
              <w:tab/>
              <w:t>TA Validation for CG-SDT</w:t>
            </w:r>
          </w:p>
          <w:p w14:paraId="05E358E3" w14:textId="77777777" w:rsidR="000800B9" w:rsidRDefault="000800B9" w:rsidP="000800B9">
            <w:pPr>
              <w:jc w:val="both"/>
              <w:rPr>
                <w:rFonts w:eastAsia="SimSun"/>
                <w:lang w:eastAsia="ko-KR"/>
              </w:rPr>
            </w:pPr>
            <w:r>
              <w:rPr>
                <w:lang w:eastAsia="ko-KR"/>
              </w:rPr>
              <w:t>RRC configures the following parameters for validation for CG-SDT:</w:t>
            </w:r>
          </w:p>
          <w:p w14:paraId="7DD5A85F" w14:textId="77777777" w:rsidR="000800B9" w:rsidRDefault="000800B9" w:rsidP="000800B9">
            <w:pPr>
              <w:pStyle w:val="B1"/>
              <w:jc w:val="both"/>
              <w:rPr>
                <w:lang w:eastAsia="zh-CN"/>
              </w:rPr>
            </w:pPr>
            <w:r>
              <w:rPr>
                <w:i/>
                <w:lang w:eastAsia="zh-CN"/>
              </w:rPr>
              <w:t>-</w:t>
            </w:r>
            <w:r>
              <w:rPr>
                <w:i/>
                <w:lang w:eastAsia="zh-CN"/>
              </w:rPr>
              <w:tab/>
              <w:t>cg-SDT-RSRP-ChangeThreshold</w:t>
            </w:r>
            <w:r>
              <w:rPr>
                <w:lang w:eastAsia="zh-CN"/>
              </w:rPr>
              <w:t>: RSRP threshold for the increase/decrease of RSRP for time alignment validation.</w:t>
            </w:r>
          </w:p>
          <w:p w14:paraId="08A92F4A" w14:textId="77777777" w:rsidR="000800B9" w:rsidRDefault="000800B9" w:rsidP="000800B9">
            <w:pPr>
              <w:jc w:val="both"/>
              <w:rPr>
                <w:rFonts w:eastAsia="DengXian"/>
                <w:lang w:eastAsia="zh-CN"/>
              </w:rPr>
            </w:pPr>
            <w:r>
              <w:rPr>
                <w:rFonts w:eastAsia="DengXian"/>
                <w:lang w:eastAsia="zh-CN"/>
              </w:rPr>
              <w:t>The MAC entity shall:</w:t>
            </w:r>
          </w:p>
          <w:p w14:paraId="5D87D737" w14:textId="77777777" w:rsidR="000800B9" w:rsidRDefault="000800B9" w:rsidP="000800B9">
            <w:pPr>
              <w:pStyle w:val="B1"/>
              <w:jc w:val="both"/>
              <w:rPr>
                <w:lang w:eastAsia="zh-CN"/>
              </w:rPr>
            </w:pPr>
            <w:r>
              <w:rPr>
                <w:lang w:eastAsia="zh-CN"/>
              </w:rPr>
              <w:t>1&gt;</w:t>
            </w:r>
            <w:r>
              <w:rPr>
                <w:lang w:eastAsia="zh-CN"/>
              </w:rPr>
              <w:tab/>
              <w:t xml:space="preserve">if the UE is configured with </w:t>
            </w:r>
            <w:r>
              <w:rPr>
                <w:i/>
                <w:lang w:eastAsia="zh-CN"/>
              </w:rPr>
              <w:t>measObject</w:t>
            </w:r>
            <w:r>
              <w:rPr>
                <w:lang w:eastAsia="zh-CN"/>
              </w:rPr>
              <w:t xml:space="preserve"> for the serving cell where the UE receives configuration for CG-SDT:</w:t>
            </w:r>
          </w:p>
          <w:p w14:paraId="3F582EB3" w14:textId="77777777" w:rsidR="000800B9" w:rsidRDefault="000800B9" w:rsidP="000800B9">
            <w:pPr>
              <w:pStyle w:val="B2"/>
              <w:jc w:val="both"/>
              <w:rPr>
                <w:lang w:eastAsia="zh-CN"/>
              </w:rPr>
            </w:pPr>
            <w:r>
              <w:rPr>
                <w:lang w:eastAsia="zh-CN"/>
              </w:rPr>
              <w:t>2&gt;</w:t>
            </w:r>
            <w:r>
              <w:rPr>
                <w:lang w:eastAsia="zh-CN"/>
              </w:rPr>
              <w:tab/>
              <w:t xml:space="preserve">store the RSRP of the downlink pathloss reference derived based on the </w:t>
            </w:r>
            <w:r>
              <w:rPr>
                <w:i/>
                <w:lang w:eastAsia="zh-CN"/>
              </w:rPr>
              <w:t>measObject</w:t>
            </w:r>
            <w:r>
              <w:rPr>
                <w:lang w:eastAsia="zh-CN"/>
              </w:rPr>
              <w:t xml:space="preserve"> configured for the serving cell as in TS 38.331.</w:t>
            </w:r>
          </w:p>
          <w:p w14:paraId="35045B13" w14:textId="77777777" w:rsidR="000800B9" w:rsidRDefault="000800B9" w:rsidP="000800B9">
            <w:pPr>
              <w:jc w:val="both"/>
              <w:rPr>
                <w:rFonts w:eastAsia="DengXian"/>
                <w:lang w:eastAsia="zh-CN"/>
              </w:rPr>
            </w:pPr>
            <w:r>
              <w:rPr>
                <w:rFonts w:eastAsia="DengXian"/>
                <w:lang w:eastAsia="zh-CN"/>
              </w:rPr>
              <w:t>The MAC entity shall consider the TA of the initial CG-SDT transmission with CCCH message to be valid when the following condition is fulfilled:</w:t>
            </w:r>
          </w:p>
          <w:p w14:paraId="0326BDC6" w14:textId="77777777" w:rsidR="000800B9" w:rsidRDefault="000800B9" w:rsidP="000800B9">
            <w:pPr>
              <w:pStyle w:val="B1"/>
              <w:jc w:val="both"/>
              <w:rPr>
                <w:rFonts w:eastAsia="DengXian"/>
                <w:lang w:eastAsia="zh-CN"/>
              </w:rPr>
            </w:pPr>
            <w:r>
              <w:rPr>
                <w:rFonts w:eastAsia="DengXian"/>
                <w:lang w:eastAsia="zh-CN"/>
              </w:rPr>
              <w:t>1&gt;</w:t>
            </w:r>
            <w:r>
              <w:rPr>
                <w:rFonts w:eastAsia="DengXian"/>
                <w:lang w:eastAsia="zh-CN"/>
              </w:rPr>
              <w:tab/>
              <w:t xml:space="preserve">compared to the stored downlink pathloss reference RSRP value, the current RSRP value of the downlink pathloss reference calculated </w:t>
            </w:r>
            <w:r>
              <w:rPr>
                <w:rFonts w:eastAsia="DengXian"/>
                <w:highlight w:val="yellow"/>
                <w:lang w:eastAsia="zh-CN"/>
              </w:rPr>
              <w:t xml:space="preserve">as specified in </w:t>
            </w:r>
            <w:r>
              <w:rPr>
                <w:highlight w:val="yellow"/>
                <w:lang w:eastAsia="ko-KR"/>
              </w:rPr>
              <w:t>TS 38.133 [11]</w:t>
            </w:r>
            <w:r>
              <w:rPr>
                <w:lang w:eastAsia="ko-KR"/>
              </w:rPr>
              <w:t xml:space="preserve"> </w:t>
            </w:r>
            <w:r>
              <w:rPr>
                <w:rFonts w:eastAsia="DengXian"/>
                <w:lang w:eastAsia="zh-CN"/>
              </w:rPr>
              <w:t>has not increased/decreased by more than</w:t>
            </w:r>
            <w:r>
              <w:rPr>
                <w:rFonts w:eastAsia="DengXian"/>
                <w:i/>
                <w:lang w:eastAsia="zh-CN"/>
              </w:rPr>
              <w:t xml:space="preserve"> cg-SDT-RSRP-ChangeThreshold</w:t>
            </w:r>
            <w:r>
              <w:rPr>
                <w:rFonts w:eastAsia="DengXian"/>
                <w:lang w:eastAsia="zh-CN"/>
              </w:rPr>
              <w:t>, if configured;</w:t>
            </w:r>
          </w:p>
          <w:p w14:paraId="66F35B31" w14:textId="5A7A04D9" w:rsidR="000800B9" w:rsidRDefault="000800B9" w:rsidP="000800B9">
            <w:pPr>
              <w:pStyle w:val="BodyText"/>
              <w:tabs>
                <w:tab w:val="num" w:pos="226"/>
                <w:tab w:val="num" w:pos="284"/>
                <w:tab w:val="left" w:pos="5103"/>
              </w:tabs>
              <w:snapToGrid w:val="0"/>
              <w:rPr>
                <w:rFonts w:eastAsia="SimSun"/>
                <w:bCs/>
                <w:sz w:val="21"/>
                <w:szCs w:val="21"/>
                <w:lang w:val="en-GB" w:eastAsia="zh-CN"/>
              </w:rPr>
            </w:pPr>
            <w:r>
              <w:rPr>
                <w:rFonts w:eastAsia="DengXian"/>
                <w:lang w:eastAsia="zh-CN"/>
              </w:rPr>
              <w:t>1&gt;</w:t>
            </w:r>
            <w:r>
              <w:rPr>
                <w:rFonts w:eastAsia="DengXian"/>
                <w:lang w:eastAsia="zh-CN"/>
              </w:rPr>
              <w:tab/>
            </w:r>
            <w:r w:rsidRPr="000800B9">
              <w:rPr>
                <w:rFonts w:eastAsia="DengXian"/>
                <w:i/>
                <w:highlight w:val="cyan"/>
                <w:lang w:eastAsia="zh-CN"/>
              </w:rPr>
              <w:t>cg-SDT-TimeAlignmentTimer</w:t>
            </w:r>
            <w:r>
              <w:rPr>
                <w:rFonts w:eastAsia="DengXian"/>
                <w:lang w:eastAsia="zh-CN"/>
              </w:rPr>
              <w:t xml:space="preserve"> is running.</w:t>
            </w:r>
          </w:p>
        </w:tc>
      </w:tr>
    </w:tbl>
    <w:p w14:paraId="1509D9D7" w14:textId="77777777" w:rsidR="001A0FE7" w:rsidRDefault="001A0FE7" w:rsidP="009B2891">
      <w:pPr>
        <w:pStyle w:val="BodyText"/>
        <w:tabs>
          <w:tab w:val="num" w:pos="226"/>
          <w:tab w:val="num" w:pos="284"/>
          <w:tab w:val="left" w:pos="5103"/>
        </w:tabs>
        <w:snapToGrid w:val="0"/>
        <w:rPr>
          <w:rFonts w:eastAsia="SimSun"/>
          <w:bCs/>
          <w:sz w:val="21"/>
          <w:szCs w:val="21"/>
          <w:lang w:val="en-GB" w:eastAsia="zh-CN"/>
        </w:rPr>
      </w:pPr>
    </w:p>
    <w:p w14:paraId="33780C09" w14:textId="41DCAACD" w:rsidR="002A184E" w:rsidRDefault="002A184E" w:rsidP="002A184E">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lastRenderedPageBreak/>
        <w:drawing>
          <wp:inline distT="0" distB="0" distL="0" distR="0" wp14:anchorId="799EA521" wp14:editId="3F6A2B42">
            <wp:extent cx="4481512" cy="2386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4502756" cy="2397627"/>
                    </a:xfrm>
                    <a:prstGeom prst="rect">
                      <a:avLst/>
                    </a:prstGeom>
                  </pic:spPr>
                </pic:pic>
              </a:graphicData>
            </a:graphic>
          </wp:inline>
        </w:drawing>
      </w:r>
    </w:p>
    <w:p w14:paraId="49913F42" w14:textId="4D5CA42A" w:rsidR="002A184E" w:rsidRPr="00EF6319" w:rsidRDefault="002A184E" w:rsidP="002A184E">
      <w:pPr>
        <w:pStyle w:val="BodyText"/>
        <w:tabs>
          <w:tab w:val="num" w:pos="226"/>
          <w:tab w:val="num" w:pos="284"/>
          <w:tab w:val="left" w:pos="5103"/>
        </w:tabs>
        <w:snapToGrid w:val="0"/>
        <w:jc w:val="center"/>
        <w:rPr>
          <w:rFonts w:eastAsia="SimSun"/>
          <w:bCs/>
          <w:sz w:val="21"/>
          <w:szCs w:val="21"/>
          <w:lang w:val="en-US" w:eastAsia="zh-CN"/>
        </w:rPr>
      </w:pPr>
      <w:r w:rsidRPr="00EF6319">
        <w:rPr>
          <w:rFonts w:eastAsia="SimSun"/>
          <w:bCs/>
          <w:sz w:val="21"/>
          <w:szCs w:val="21"/>
          <w:lang w:val="en-US" w:eastAsia="zh-CN"/>
        </w:rPr>
        <w:t>Fig. 1, TA validation and CG-SDT transmission</w:t>
      </w:r>
    </w:p>
    <w:p w14:paraId="317BF8AE" w14:textId="670A650E" w:rsidR="00811BE6" w:rsidRDefault="00811BE6" w:rsidP="009B2891">
      <w:pPr>
        <w:pStyle w:val="BodyText"/>
        <w:tabs>
          <w:tab w:val="num" w:pos="226"/>
          <w:tab w:val="num" w:pos="284"/>
          <w:tab w:val="left" w:pos="5103"/>
        </w:tabs>
        <w:snapToGrid w:val="0"/>
        <w:rPr>
          <w:rFonts w:eastAsia="SimSun"/>
          <w:bCs/>
          <w:sz w:val="21"/>
          <w:szCs w:val="21"/>
          <w:lang w:val="en-GB" w:eastAsia="zh-CN"/>
        </w:rPr>
      </w:pPr>
    </w:p>
    <w:p w14:paraId="7BFFF71C" w14:textId="2063CAA4"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ED2510">
        <w:rPr>
          <w:rFonts w:eastAsia="SimSun"/>
          <w:b/>
          <w:bCs/>
          <w:sz w:val="21"/>
          <w:szCs w:val="21"/>
          <w:lang w:val="en-GB" w:eastAsia="zh-CN"/>
        </w:rPr>
        <w:t>2</w:t>
      </w:r>
      <w:r w:rsidRPr="009C0ACA">
        <w:rPr>
          <w:rFonts w:eastAsia="SimSun"/>
          <w:b/>
          <w:bCs/>
          <w:sz w:val="21"/>
          <w:szCs w:val="21"/>
          <w:lang w:val="en-GB" w:eastAsia="zh-CN"/>
        </w:rPr>
        <w:t>:</w:t>
      </w:r>
      <w:r w:rsidR="00ED2510">
        <w:rPr>
          <w:rFonts w:eastAsia="SimSun"/>
          <w:b/>
          <w:bCs/>
          <w:sz w:val="21"/>
          <w:szCs w:val="21"/>
          <w:lang w:val="en-GB" w:eastAsia="zh-CN"/>
        </w:rPr>
        <w:t xml:space="preserve"> No additional RRM requirement is introduced for the time duration between T2 and the actual CG-SDT transmission.</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60AF5F34"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ED2510">
        <w:rPr>
          <w:rFonts w:eastAsia="SimSun"/>
          <w:bCs/>
          <w:sz w:val="21"/>
          <w:szCs w:val="21"/>
          <w:lang w:val="en-GB" w:eastAsia="zh-CN"/>
        </w:rPr>
        <w:t>s</w:t>
      </w:r>
      <w:r>
        <w:rPr>
          <w:rFonts w:eastAsia="SimSun"/>
          <w:bCs/>
          <w:sz w:val="21"/>
          <w:szCs w:val="21"/>
          <w:lang w:val="en-GB" w:eastAsia="zh-CN"/>
        </w:rPr>
        <w:t xml:space="preserve"> for</w:t>
      </w:r>
      <w:r w:rsidR="00ED2510">
        <w:rPr>
          <w:rFonts w:eastAsia="SimSun"/>
          <w:bCs/>
          <w:sz w:val="21"/>
          <w:szCs w:val="21"/>
          <w:lang w:val="en-GB" w:eastAsia="zh-CN"/>
        </w:rPr>
        <w:t xml:space="preserve"> the remaining open issues for NR SDT:</w:t>
      </w:r>
      <w:r>
        <w:rPr>
          <w:rFonts w:eastAsia="SimSun"/>
          <w:bCs/>
          <w:sz w:val="21"/>
          <w:szCs w:val="21"/>
          <w:lang w:val="en-GB" w:eastAsia="zh-CN"/>
        </w:rPr>
        <w:t xml:space="preserve"> </w:t>
      </w:r>
    </w:p>
    <w:p w14:paraId="26643724" w14:textId="3A8A4B47" w:rsidR="009C0ACA" w:rsidRDefault="00ED2510" w:rsidP="00CA4C30">
      <w:pPr>
        <w:pStyle w:val="BodyText"/>
        <w:tabs>
          <w:tab w:val="num" w:pos="226"/>
          <w:tab w:val="num" w:pos="284"/>
          <w:tab w:val="left" w:pos="5103"/>
        </w:tabs>
        <w:snapToGrid w:val="0"/>
        <w:rPr>
          <w:rFonts w:eastAsia="SimSun"/>
          <w:b/>
          <w:sz w:val="21"/>
          <w:szCs w:val="21"/>
          <w:lang w:val="en-US" w:eastAsia="zh-CN"/>
        </w:rPr>
      </w:pPr>
      <w:r w:rsidRPr="00040E88">
        <w:rPr>
          <w:rFonts w:eastAsia="SimSun"/>
          <w:b/>
          <w:sz w:val="21"/>
          <w:szCs w:val="21"/>
          <w:lang w:val="en-US" w:eastAsia="zh-CN"/>
        </w:rPr>
        <w:t>Proposal 1: Set X1 as 400ms for FR2.</w:t>
      </w:r>
    </w:p>
    <w:p w14:paraId="6676A8ED" w14:textId="47FD1596" w:rsidR="00ED2510" w:rsidRPr="009C0ACA" w:rsidRDefault="00ED2510" w:rsidP="00CA4C30">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2</w:t>
      </w:r>
      <w:r w:rsidRPr="009C0ACA">
        <w:rPr>
          <w:rFonts w:eastAsia="SimSun"/>
          <w:b/>
          <w:bCs/>
          <w:sz w:val="21"/>
          <w:szCs w:val="21"/>
          <w:lang w:val="en-GB" w:eastAsia="zh-CN"/>
        </w:rPr>
        <w:t>:</w:t>
      </w:r>
      <w:r>
        <w:rPr>
          <w:rFonts w:eastAsia="SimSun"/>
          <w:b/>
          <w:bCs/>
          <w:sz w:val="21"/>
          <w:szCs w:val="21"/>
          <w:lang w:val="en-GB" w:eastAsia="zh-CN"/>
        </w:rPr>
        <w:t xml:space="preserve"> No additional RRM requirement is introduced for the time duration between T2 and the actual CG-SDT transmission.</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536908C0" w:rsidR="00A208FC" w:rsidRDefault="00D0160F" w:rsidP="00C80ED3">
      <w:pPr>
        <w:pStyle w:val="List2"/>
      </w:pPr>
      <w:r w:rsidRPr="00D0160F">
        <w:t>R</w:t>
      </w:r>
      <w:r w:rsidR="00430353">
        <w:t>4-</w:t>
      </w:r>
      <w:r w:rsidR="00556E4D">
        <w:t>2207111,</w:t>
      </w:r>
      <w:r w:rsidR="00556E4D" w:rsidRPr="00556E4D">
        <w:t xml:space="preserve"> Way forward on RRM requirements for NR SDT</w:t>
      </w:r>
      <w:r w:rsidR="00556E4D">
        <w:t>, ZTE</w:t>
      </w:r>
    </w:p>
    <w:p w14:paraId="7F81A09D" w14:textId="2583E016" w:rsidR="000800B9" w:rsidRDefault="000800B9" w:rsidP="00C80ED3">
      <w:pPr>
        <w:pStyle w:val="List2"/>
      </w:pPr>
      <w:r>
        <w:t xml:space="preserve">R2-2204216, </w:t>
      </w:r>
      <w:r w:rsidRPr="000800B9">
        <w:t>Introduction of Small Data Transmission for MAC spec</w:t>
      </w:r>
      <w:r>
        <w:t>, Huawei</w:t>
      </w:r>
    </w:p>
    <w:p w14:paraId="4F3885C1" w14:textId="00A2D50F" w:rsidR="000800B9" w:rsidRDefault="000800B9" w:rsidP="00C80ED3">
      <w:pPr>
        <w:pStyle w:val="List2"/>
      </w:pPr>
      <w:r>
        <w:t xml:space="preserve">R2-2204269, </w:t>
      </w:r>
      <w:r w:rsidR="00952A3B" w:rsidRPr="00952A3B">
        <w:t>LS on TA validation for CG-SDT, RAN2</w:t>
      </w:r>
    </w:p>
    <w:p w14:paraId="21B21FB2" w14:textId="77777777" w:rsidR="00556E4D" w:rsidRPr="00183F7C" w:rsidRDefault="00556E4D" w:rsidP="00FB49E9">
      <w:pPr>
        <w:pStyle w:val="List2"/>
        <w:numPr>
          <w:ilvl w:val="0"/>
          <w:numId w:val="0"/>
        </w:numPr>
      </w:pPr>
    </w:p>
    <w:sectPr w:rsidR="00556E4D"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A8E8" w14:textId="77777777" w:rsidR="00A24902" w:rsidRDefault="00A24902" w:rsidP="00E7784C">
      <w:r>
        <w:separator/>
      </w:r>
    </w:p>
  </w:endnote>
  <w:endnote w:type="continuationSeparator" w:id="0">
    <w:p w14:paraId="1B8D0459" w14:textId="77777777" w:rsidR="00A24902" w:rsidRDefault="00A24902"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6BCF" w14:textId="77777777" w:rsidR="00A24902" w:rsidRDefault="00A24902" w:rsidP="00E7784C">
      <w:r>
        <w:separator/>
      </w:r>
    </w:p>
  </w:footnote>
  <w:footnote w:type="continuationSeparator" w:id="0">
    <w:p w14:paraId="5229914C" w14:textId="77777777" w:rsidR="00A24902" w:rsidRDefault="00A24902"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211A09"/>
    <w:multiLevelType w:val="hybridMultilevel"/>
    <w:tmpl w:val="F978F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3"/>
  </w:num>
  <w:num w:numId="2" w16cid:durableId="1610240196">
    <w:abstractNumId w:val="16"/>
  </w:num>
  <w:num w:numId="3" w16cid:durableId="1604849120">
    <w:abstractNumId w:val="19"/>
  </w:num>
  <w:num w:numId="4" w16cid:durableId="1160851151">
    <w:abstractNumId w:val="11"/>
  </w:num>
  <w:num w:numId="5" w16cid:durableId="1545823148">
    <w:abstractNumId w:val="14"/>
  </w:num>
  <w:num w:numId="6" w16cid:durableId="1396200286">
    <w:abstractNumId w:val="0"/>
  </w:num>
  <w:num w:numId="7" w16cid:durableId="976034127">
    <w:abstractNumId w:val="20"/>
  </w:num>
  <w:num w:numId="8" w16cid:durableId="1015230158">
    <w:abstractNumId w:val="7"/>
  </w:num>
  <w:num w:numId="9" w16cid:durableId="975338391">
    <w:abstractNumId w:val="5"/>
  </w:num>
  <w:num w:numId="10" w16cid:durableId="1836801576">
    <w:abstractNumId w:val="13"/>
  </w:num>
  <w:num w:numId="11" w16cid:durableId="2074893254">
    <w:abstractNumId w:val="1"/>
  </w:num>
  <w:num w:numId="12" w16cid:durableId="1361080745">
    <w:abstractNumId w:val="19"/>
  </w:num>
  <w:num w:numId="13" w16cid:durableId="1318071849">
    <w:abstractNumId w:val="19"/>
  </w:num>
  <w:num w:numId="14" w16cid:durableId="55013004">
    <w:abstractNumId w:val="19"/>
  </w:num>
  <w:num w:numId="15" w16cid:durableId="1162113877">
    <w:abstractNumId w:val="10"/>
  </w:num>
  <w:num w:numId="16" w16cid:durableId="1508671388">
    <w:abstractNumId w:val="15"/>
  </w:num>
  <w:num w:numId="17" w16cid:durableId="1998024904">
    <w:abstractNumId w:val="19"/>
  </w:num>
  <w:num w:numId="18" w16cid:durableId="198586437">
    <w:abstractNumId w:val="4"/>
  </w:num>
  <w:num w:numId="19" w16cid:durableId="1907643217">
    <w:abstractNumId w:val="8"/>
  </w:num>
  <w:num w:numId="20" w16cid:durableId="2022664801">
    <w:abstractNumId w:val="2"/>
  </w:num>
  <w:num w:numId="21" w16cid:durableId="1966109862">
    <w:abstractNumId w:val="9"/>
  </w:num>
  <w:num w:numId="22" w16cid:durableId="150975919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6"/>
  </w:num>
  <w:num w:numId="24" w16cid:durableId="78769980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19"/>
  </w:num>
  <w:num w:numId="26" w16cid:durableId="722211901">
    <w:abstractNumId w:val="17"/>
  </w:num>
  <w:num w:numId="27" w16cid:durableId="362633016">
    <w:abstractNumId w:val="22"/>
  </w:num>
  <w:num w:numId="28" w16cid:durableId="2061246540">
    <w:abstractNumId w:val="21"/>
  </w:num>
  <w:num w:numId="29" w16cid:durableId="1290863573">
    <w:abstractNumId w:val="12"/>
  </w:num>
  <w:num w:numId="30" w16cid:durableId="264310116">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0E88"/>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0B9"/>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4E"/>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0E7"/>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55CF"/>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6E4D"/>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E72B0"/>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488F"/>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A1E"/>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2A3B"/>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07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8D0"/>
    <w:rsid w:val="00A01A8C"/>
    <w:rsid w:val="00A02195"/>
    <w:rsid w:val="00A03B85"/>
    <w:rsid w:val="00A04089"/>
    <w:rsid w:val="00A05343"/>
    <w:rsid w:val="00A05428"/>
    <w:rsid w:val="00A054C3"/>
    <w:rsid w:val="00A05A35"/>
    <w:rsid w:val="00A068D0"/>
    <w:rsid w:val="00A06F97"/>
    <w:rsid w:val="00A07B6B"/>
    <w:rsid w:val="00A10C4C"/>
    <w:rsid w:val="00A11E5E"/>
    <w:rsid w:val="00A12160"/>
    <w:rsid w:val="00A1321A"/>
    <w:rsid w:val="00A13EAD"/>
    <w:rsid w:val="00A1485E"/>
    <w:rsid w:val="00A2040A"/>
    <w:rsid w:val="00A208FC"/>
    <w:rsid w:val="00A21296"/>
    <w:rsid w:val="00A2182A"/>
    <w:rsid w:val="00A23B5A"/>
    <w:rsid w:val="00A24902"/>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5FE4"/>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BBD"/>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0A8F"/>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5848"/>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543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2510"/>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6319"/>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B9F"/>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5AFB"/>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9E9"/>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B1Zchn">
    <w:name w:val="B1 Zchn"/>
    <w:locked/>
    <w:rsid w:val="000800B9"/>
    <w:rPr>
      <w:lang w:eastAsia="en-US"/>
    </w:rPr>
  </w:style>
  <w:style w:type="character" w:customStyle="1" w:styleId="B2Char">
    <w:name w:val="B2 Char"/>
    <w:link w:val="B2"/>
    <w:qFormat/>
    <w:locked/>
    <w:rsid w:val="000800B9"/>
    <w:rPr>
      <w:lang w:eastAsia="en-US"/>
    </w:rPr>
  </w:style>
  <w:style w:type="paragraph" w:customStyle="1" w:styleId="B2">
    <w:name w:val="B2"/>
    <w:basedOn w:val="Normal"/>
    <w:link w:val="B2Char"/>
    <w:qFormat/>
    <w:rsid w:val="000800B9"/>
    <w:pPr>
      <w:spacing w:after="180"/>
      <w:ind w:left="851" w:hanging="284"/>
    </w:pPr>
    <w:rPr>
      <w:rFonts w:ascii="Calibri" w:eastAsia="SimSun" w:hAnsi="Calibri"/>
      <w:szCs w:val="20"/>
    </w:rPr>
  </w:style>
  <w:style w:type="character" w:customStyle="1" w:styleId="B1Char">
    <w:name w:val="B1 Char"/>
    <w:qFormat/>
    <w:rsid w:val="00B05F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96689880">
      <w:bodyDiv w:val="1"/>
      <w:marLeft w:val="0"/>
      <w:marRight w:val="0"/>
      <w:marTop w:val="0"/>
      <w:marBottom w:val="0"/>
      <w:divBdr>
        <w:top w:val="none" w:sz="0" w:space="0" w:color="auto"/>
        <w:left w:val="none" w:sz="0" w:space="0" w:color="auto"/>
        <w:bottom w:val="none" w:sz="0" w:space="0" w:color="auto"/>
        <w:right w:val="none" w:sz="0" w:space="0" w:color="auto"/>
      </w:divBdr>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604</Words>
  <Characters>3445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23</cp:revision>
  <cp:lastPrinted>2015-02-02T11:17:00Z</cp:lastPrinted>
  <dcterms:created xsi:type="dcterms:W3CDTF">2022-04-21T07:10:00Z</dcterms:created>
  <dcterms:modified xsi:type="dcterms:W3CDTF">2022-04-25T11:32:00Z</dcterms:modified>
</cp:coreProperties>
</file>